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Дадена е таблица 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реда 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колони, като номерацията на редовете и стълбовете започва от 1. Някои от клетките са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блокирани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като в тях е записано числото –1, а в останалите са записани цели положителни числа. Две клетки на таблицата са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съседни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когато имат обща страна, т.е. клетката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 съседна на клетките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+ 1,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– 1,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),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– 1) и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+ 1), когато съответните номера съществуват.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Път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в таблицата наричаме непразна редица от </w:t>
      </w:r>
      <w:r w:rsidDel="00000000" w:rsidR="00000000" w:rsidRPr="00000000">
        <w:rPr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различни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неблокирани клетки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 всеки две последователни от които са съседни. Тъй като имаме фобия от дълги пътища, дължината на път не трябва да надвишава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MAXL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Подредица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на път наричаме последователност от негови елементи (може и несъседни), взети в реда по който се срещат в пътя.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Най-дълга растяща подредица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на път наричаме най-дългата му подредица 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…,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}, такава че за всяко 1 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&lt;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 изпълнено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i-1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&lt;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&lt;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i+1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Аналогично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най-дълга намаляваща подредица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на път наричаме най-дългата му подредица{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…,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}, такава че за всяко 1 &lt;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 &lt; 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е изпълнено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i-1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&gt;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&gt;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subscript"/>
          <w:rtl w:val="0"/>
        </w:rPr>
        <w:t xml:space="preserve">i+1.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Ще бележим дължините на тези подредици за пътя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с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 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съответно.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Цена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на път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дефинираме като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Напишете програма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path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която намира в таблицата път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с максимална цена.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Вход: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 първия ред на файла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6"/>
          <w:szCs w:val="26"/>
          <w:u w:val="none"/>
          <w:shd w:fill="auto" w:val="clear"/>
          <w:vertAlign w:val="baseline"/>
          <w:rtl w:val="0"/>
        </w:rPr>
        <w:t xml:space="preserve">path.in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ще бъдат зададени двете цели положителни числа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Всеки от следващите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реда ще съдържа по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цели числа – стойностите от поредния ред на таблицата, започвайки от реда с номер 1. На последния ред на входния файл ще бъде зададено цялото число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MAXL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Изход: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В първия ред на файла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path.out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програмата трябва да изведе дължината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на намерения път. Всеки от следващите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реда трябва да съдържат координатите – номера на реда и номера на стълба – на поредната клетка на намерения път.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3" w:before="0" w:line="240" w:lineRule="auto"/>
        <w:ind w:left="0" w:right="0" w:firstLine="42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Оценяване: </w:t>
      </w:r>
    </w:p>
    <w:p w:rsidR="00000000" w:rsidDel="00000000" w:rsidP="00000000" w:rsidRDefault="00000000" w:rsidRPr="00000000" w14:paraId="0000000A">
      <w:pPr>
        <w:spacing w:after="113" w:before="0" w:line="240" w:lineRule="auto"/>
        <w:ind w:left="0" w:right="0" w:firstLine="42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Ако резултатът от работата на вашата програма, за някой от тестовете, не изпълнява горепосочените изисквания, ще получите 0 точки за този тест. В противен случай ще получите </w:t>
      </w:r>
      <m:oMath>
        <m:r>
          <w:rPr>
            <w:rFonts w:ascii="Cambria Math" w:cs="Cambria Math" w:eastAsia="Cambria Math" w:hAnsi="Cambria Math"/>
          </w:rPr>
          <m:t xml:space="preserve">score</m:t>
        </m:r>
        <m:r>
          <w:rPr>
            <w:rFonts w:ascii="Cambria Math" w:cs="Cambria Math" w:eastAsia="Cambria Math" w:hAnsi="Cambria Math"/>
          </w:rPr>
          <m:t>×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</w:rPr>
                      <m:t xml:space="preserve">yours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</w:rPr>
                      <m:t xml:space="preserve">best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</w:rPr>
              <m:t xml:space="preserve">2</m:t>
            </m:r>
          </m:sup>
        </m:sSup>
      </m:oMath>
      <w:r w:rsidDel="00000000" w:rsidR="00000000" w:rsidRPr="00000000">
        <w:rPr>
          <w:b w:val="0"/>
          <w:sz w:val="24"/>
          <w:szCs w:val="24"/>
          <w:rtl w:val="0"/>
        </w:rPr>
        <w:t xml:space="preserve"> точки, където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rtl w:val="0"/>
        </w:rPr>
        <w:t xml:space="preserve">score</w:t>
      </w:r>
      <w:r w:rsidDel="00000000" w:rsidR="00000000" w:rsidRPr="00000000">
        <w:rPr>
          <w:b w:val="0"/>
          <w:sz w:val="24"/>
          <w:szCs w:val="24"/>
          <w:rtl w:val="0"/>
        </w:rPr>
        <w:t xml:space="preserve"> са точките предвидени за този тест,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rtl w:val="0"/>
        </w:rPr>
        <w:t xml:space="preserve">yours</w:t>
      </w:r>
      <w:r w:rsidDel="00000000" w:rsidR="00000000" w:rsidRPr="00000000">
        <w:rPr>
          <w:b w:val="0"/>
          <w:sz w:val="24"/>
          <w:szCs w:val="24"/>
          <w:rtl w:val="0"/>
        </w:rPr>
        <w:t xml:space="preserve"> е цената на пътя, намерен от вашата програма, 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z w:val="26"/>
          <w:szCs w:val="26"/>
          <w:rtl w:val="0"/>
        </w:rPr>
        <w:t xml:space="preserve">best</w:t>
      </w:r>
      <w:r w:rsidDel="00000000" w:rsidR="00000000" w:rsidRPr="00000000">
        <w:rPr>
          <w:b w:val="0"/>
          <w:sz w:val="24"/>
          <w:szCs w:val="24"/>
          <w:rtl w:val="0"/>
        </w:rPr>
        <w:t xml:space="preserve"> е максималната цена на път за съответния тест, намерена от участник.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3" w:before="0" w:lineRule="auto"/>
        <w:ind w:left="0" w:right="0" w:firstLine="426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3" w:before="0" w:lineRule="auto"/>
        <w:ind w:left="720" w:righ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Ограничения: </w:t>
      </w:r>
    </w:p>
    <w:p w:rsidR="00000000" w:rsidDel="00000000" w:rsidP="00000000" w:rsidRDefault="00000000" w:rsidRPr="00000000" w14:paraId="0000000D">
      <w:pPr>
        <w:spacing w:after="113" w:before="0" w:lineRule="auto"/>
        <w:ind w:left="720" w:right="0" w:firstLine="0"/>
        <w:rPr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Стойностите на неблокираните клетки са в интервала </w:t>
      </w:r>
      <m:oMath>
        <m:d>
          <m:dPr>
            <m:begChr m:val="["/>
            <m:endChr m:val="]"/>
            <m:ctrlPr>
              <w:rPr>
                <w:rFonts w:ascii="Cambria Math" w:cs="Cambria Math" w:eastAsia="Cambria Math" w:hAnsi="Cambria Math"/>
              </w:rPr>
            </m:ctrlPr>
          </m:dPr>
          <m:e>
            <m:r>
              <w:rPr>
                <w:rFonts w:ascii="Cambria Math" w:cs="Cambria Math" w:eastAsia="Cambria Math" w:hAnsi="Cambria Math"/>
              </w:rPr>
              <m:t xml:space="preserve">1;</m:t>
            </m:r>
            <m:sSup>
              <m:sSupPr>
                <m:ctrlPr>
                  <w:rPr>
                    <w:rFonts w:ascii="Cambria Math" w:cs="Cambria Math" w:eastAsia="Cambria Math" w:hAnsi="Cambria Math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cs="Cambria Math" w:eastAsia="Cambria Math" w:hAnsi="Cambria Math"/>
                  </w:rPr>
                  <m:t xml:space="preserve">9</m:t>
                </m:r>
              </m:sup>
            </m:sSup>
          </m:e>
        </m:d>
      </m:oMath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351.0" w:type="dxa"/>
        <w:tblBorders>
          <w:top w:color="4472c4" w:space="0" w:sz="8" w:val="single"/>
          <w:left w:color="4472c4" w:space="0" w:sz="8" w:val="single"/>
          <w:right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90"/>
        <w:gridCol w:w="5130"/>
        <w:tblGridChange w:id="0">
          <w:tblGrid>
            <w:gridCol w:w="2790"/>
            <w:gridCol w:w="5130"/>
          </w:tblGrid>
        </w:tblGridChange>
      </w:tblGrid>
      <w:tr>
        <w:trPr>
          <w:trHeight w:val="440" w:hRule="atLeast"/>
        </w:trPr>
        <w:tc>
          <w:tcPr>
            <w:tcBorders>
              <w:top w:color="4472c4" w:space="0" w:sz="8" w:val="single"/>
              <w:left w:color="4472c4" w:space="0" w:sz="8" w:val="single"/>
              <w:right w:color="ffffff" w:space="0" w:sz="8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Част от тестовете</w:t>
            </w:r>
          </w:p>
        </w:tc>
        <w:tc>
          <w:tcPr>
            <w:tcBorders>
              <w:top w:color="4472c4" w:space="0" w:sz="8" w:val="single"/>
              <w:left w:color="ffffff" w:space="0" w:sz="8" w:val="single"/>
              <w:right w:color="4472c4" w:space="0" w:sz="8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Ограничения за N и M</w:t>
            </w:r>
          </w:p>
        </w:tc>
      </w:tr>
      <w:t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10%</w:t>
            </w:r>
          </w:p>
        </w:tc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N⩽20,M⩽20,MAXL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1;100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4472c4" w:space="0" w:sz="8" w:val="single"/>
              <w:right w:color="0070c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40%</w:t>
            </w:r>
          </w:p>
        </w:tc>
        <w:tc>
          <w:tcPr>
            <w:tcBorders>
              <w:left w:color="0070c0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N⩽100,M⩽100,MAXL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1;40000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50%</w:t>
            </w:r>
          </w:p>
        </w:tc>
        <w:tc>
          <w:tcPr>
            <w:tcBorders>
              <w:top w:color="4472c4" w:space="0" w:sz="8" w:val="single"/>
              <w:left w:color="4472c4" w:space="0" w:sz="8" w:val="single"/>
              <w:bottom w:color="4472c4" w:space="0" w:sz="8" w:val="single"/>
              <w:right w:color="4472c4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N⩽1000,M⩽1000,MAXL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a"/>
                  <w:sz w:val="22"/>
                  <w:szCs w:val="22"/>
                  <w:u w:val="none"/>
                  <w:shd w:fill="auto" w:val="clear"/>
                  <w:vertAlign w:val="baseline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1;300000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426" w:righ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  <w:tab/>
        <w:t xml:space="preserve">Ограничение за време: 5 сек  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Ограничение за памет: 256 MB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Примерни тестове</w:t>
      </w:r>
    </w:p>
    <w:tbl>
      <w:tblPr>
        <w:tblStyle w:val="Table2"/>
        <w:tblW w:w="8741.0" w:type="dxa"/>
        <w:jc w:val="left"/>
        <w:tblInd w:w="18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4223"/>
        <w:gridCol w:w="4518"/>
        <w:tblGridChange w:id="0">
          <w:tblGrid>
            <w:gridCol w:w="4223"/>
            <w:gridCol w:w="4518"/>
          </w:tblGrid>
        </w:tblGridChange>
      </w:tblGrid>
      <w:tr>
        <w:trPr>
          <w:trHeight w:val="24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Вход (path.in)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Изход (path.out)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3 3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1 3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 -1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-1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-1 1 1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4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1 1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1 2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2 2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color w:val="00000a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a"/>
                <w:rtl w:val="0"/>
              </w:rPr>
              <w:t xml:space="preserve">2 3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426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Обяснение на примерните тестове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Намереният път </w:t>
      </w:r>
      <w:r w:rsidDel="00000000" w:rsidR="00000000" w:rsidRPr="00000000">
        <w:rPr>
          <w:b w:val="1"/>
          <w:color w:val="00000a"/>
          <w:rtl w:val="0"/>
        </w:rPr>
        <w:t xml:space="preserve">P</w:t>
      </w:r>
      <w:r w:rsidDel="00000000" w:rsidR="00000000" w:rsidRPr="00000000">
        <w:rPr>
          <w:color w:val="00000a"/>
          <w:rtl w:val="0"/>
        </w:rPr>
        <w:t xml:space="preserve"> е {1, 3, 2, 1}, т.е. </w:t>
      </w:r>
      <w:r w:rsidDel="00000000" w:rsidR="00000000" w:rsidRPr="00000000">
        <w:rPr>
          <w:i w:val="1"/>
          <w:color w:val="00000a"/>
          <w:rtl w:val="0"/>
        </w:rPr>
        <w:t xml:space="preserve">LIS</w:t>
      </w:r>
      <w:r w:rsidDel="00000000" w:rsidR="00000000" w:rsidRPr="00000000">
        <w:rPr>
          <w:color w:val="00000a"/>
          <w:rtl w:val="0"/>
        </w:rPr>
        <w:t xml:space="preserve">(</w:t>
      </w:r>
      <w:r w:rsidDel="00000000" w:rsidR="00000000" w:rsidRPr="00000000">
        <w:rPr>
          <w:b w:val="1"/>
          <w:i w:val="1"/>
          <w:color w:val="00000a"/>
          <w:rtl w:val="0"/>
        </w:rPr>
        <w:t xml:space="preserve">P</w:t>
      </w:r>
      <w:r w:rsidDel="00000000" w:rsidR="00000000" w:rsidRPr="00000000">
        <w:rPr>
          <w:color w:val="00000a"/>
          <w:rtl w:val="0"/>
        </w:rPr>
        <w:t xml:space="preserve">) = 2, </w:t>
      </w:r>
      <w:r w:rsidDel="00000000" w:rsidR="00000000" w:rsidRPr="00000000">
        <w:rPr>
          <w:i w:val="1"/>
          <w:color w:val="00000a"/>
          <w:rtl w:val="0"/>
        </w:rPr>
        <w:t xml:space="preserve">LDS</w:t>
      </w:r>
      <w:r w:rsidDel="00000000" w:rsidR="00000000" w:rsidRPr="00000000">
        <w:rPr>
          <w:color w:val="00000a"/>
          <w:rtl w:val="0"/>
        </w:rPr>
        <w:t xml:space="preserve">(</w:t>
      </w:r>
      <w:r w:rsidDel="00000000" w:rsidR="00000000" w:rsidRPr="00000000">
        <w:rPr>
          <w:b w:val="1"/>
          <w:i w:val="1"/>
          <w:color w:val="00000a"/>
          <w:rtl w:val="0"/>
        </w:rPr>
        <w:t xml:space="preserve">P</w:t>
      </w:r>
      <w:r w:rsidDel="00000000" w:rsidR="00000000" w:rsidRPr="00000000">
        <w:rPr>
          <w:color w:val="00000a"/>
          <w:rtl w:val="0"/>
        </w:rPr>
        <w:t xml:space="preserve">) = 3 и стойността му е 6.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Style w:val="Title"/>
      <w:spacing w:after="0" w:before="0" w:lineRule="auto"/>
      <w:rPr>
        <w:color w:val="505094"/>
        <w:sz w:val="72"/>
        <w:szCs w:val="72"/>
      </w:rPr>
    </w:pPr>
    <w:r w:rsidDel="00000000" w:rsidR="00000000" w:rsidRPr="00000000">
      <w:rPr>
        <w:color w:val="505094"/>
        <w:sz w:val="72"/>
        <w:szCs w:val="72"/>
        <w:rtl w:val="0"/>
      </w:rPr>
      <w:t xml:space="preserve">Path                         </w:t>
    </w:r>
    <w:r w:rsidDel="00000000" w:rsidR="00000000" w:rsidRPr="00000000">
      <w:rPr>
        <w:color w:val="505094"/>
        <w:sz w:val="72"/>
        <w:szCs w:val="72"/>
      </w:rPr>
      <w:drawing>
        <wp:inline distB="5080" distT="0" distL="0" distR="8255">
          <wp:extent cx="1556385" cy="660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6385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6156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         СЕЗОН 8 – ФИНАЛ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-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a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