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Генериране на тестовете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  <w:t xml:space="preserve">Генераторът на тестове (regions-testgen.cpp) приема от стандартния вход едно число от 1 до 4 - групата, от която участникът иска да генерира тест. В зависимост от състоянието на флага STANDARD_OUTPUT тестът ще бъде отпечатан на стандартния изход или във файла regions.in.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  <w:t xml:space="preserve">Генераторът първоначално избира големината на таблицата (N), както и броят флагчета (R), които ще бъдат забити. След това на случаен принцип се избират клетките, където да бъдат забити флагчетата.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  <w:t xml:space="preserve">Първоначално цялата таблица се разделя на валидни региони. Това става по следната процедура. Първо всяка клетка, където има флагче, се счита за единичен регион и тази клетка е “заета”, всички останали клетки ще наричаме “свободни”. Един регион ще наричаме активен, ако някоя от неговите клетки е съседна на свободна клетка. Докато има все още свободни клетки в таблицата:</w:t>
      </w:r>
    </w:p>
    <w:p w:rsidR="00000000" w:rsidDel="00000000" w:rsidP="00000000" w:rsidRDefault="00000000" w:rsidRPr="00000000">
      <w:pPr>
        <w:ind w:firstLine="720"/>
        <w:contextualSpacing w:val="0"/>
        <w:jc w:val="both"/>
      </w:pPr>
      <w:r w:rsidDel="00000000" w:rsidR="00000000" w:rsidRPr="00000000">
        <w:rPr>
          <w:rtl w:val="0"/>
        </w:rPr>
        <w:t xml:space="preserve">- избираме на случаен принцип активен регион;</w:t>
      </w:r>
    </w:p>
    <w:p w:rsidR="00000000" w:rsidDel="00000000" w:rsidP="00000000" w:rsidRDefault="00000000" w:rsidRPr="00000000">
      <w:pPr>
        <w:ind w:firstLine="720"/>
        <w:contextualSpacing w:val="0"/>
        <w:jc w:val="both"/>
      </w:pPr>
      <w:r w:rsidDel="00000000" w:rsidR="00000000" w:rsidRPr="00000000">
        <w:rPr>
          <w:rtl w:val="0"/>
        </w:rPr>
        <w:t xml:space="preserve">- избираме на случаен принцип свободна клетка, която е съседна на избрания от нас регион;</w:t>
      </w:r>
    </w:p>
    <w:p w:rsidR="00000000" w:rsidDel="00000000" w:rsidP="00000000" w:rsidRDefault="00000000" w:rsidRPr="00000000">
      <w:pPr>
        <w:ind w:firstLine="720"/>
        <w:contextualSpacing w:val="0"/>
        <w:jc w:val="both"/>
      </w:pPr>
      <w:r w:rsidDel="00000000" w:rsidR="00000000" w:rsidRPr="00000000">
        <w:rPr>
          <w:rtl w:val="0"/>
        </w:rPr>
        <w:t xml:space="preserve">- добавяме клетката в региона и я отбелязваме като заета.</w:t>
      </w:r>
    </w:p>
    <w:p w:rsidR="00000000" w:rsidDel="00000000" w:rsidP="00000000" w:rsidRDefault="00000000" w:rsidRPr="00000000">
      <w:pPr>
        <w:ind w:left="0" w:firstLine="0"/>
        <w:contextualSpacing w:val="0"/>
        <w:jc w:val="both"/>
      </w:pPr>
      <w:r w:rsidDel="00000000" w:rsidR="00000000" w:rsidRPr="00000000">
        <w:rPr>
          <w:rtl w:val="0"/>
        </w:rPr>
        <w:t xml:space="preserve">На всяко място, където сме сложили флагче преброяваме колко е големината на съответния регион и записваме това число в клетката. На този етап това ни гарантира, че цялата таблица може да се раздели на валидни региони.</w:t>
      </w:r>
    </w:p>
    <w:p w:rsidR="00000000" w:rsidDel="00000000" w:rsidP="00000000" w:rsidRDefault="00000000" w:rsidRPr="00000000">
      <w:pPr>
        <w:ind w:left="0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jc w:val="both"/>
      </w:pPr>
      <w:r w:rsidDel="00000000" w:rsidR="00000000" w:rsidRPr="00000000">
        <w:rPr>
          <w:rtl w:val="0"/>
        </w:rPr>
        <w:t xml:space="preserve">Следващата стъпка на генератора е да добави “шум” към данните. Той се изразява в следното. На случаен принцип се избират най-много (т.е. може и по-малко) 30% от клетките с флагчета. Към числата, които са записани в тях, се прибавя или изважда най-много 25% от тяхната първоначална стойност. В случай, че числото е станало неположително, в клетката се записва числото 1. След изпълнението на тази стъпка, вече не се гарантира, че цялата таблица може да бъде разделена на валидни региони.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</w:rPr>
  </w:style>
</w:styles>
</file>

<file path=word/_rels/document.xml.rels><?xml version="1.0" encoding="UTF-8" standalone="yes"?><Relationships xmlns="http://schemas.openxmlformats.org/package/2006/relationships"><Relationship Id="rId2" Type="http://schemas.openxmlformats.org/officeDocument/2006/relationships/fontTable" Target="fontTable.xml"/><Relationship Id="rId1" Type="http://schemas.openxmlformats.org/officeDocument/2006/relationships/settings" Target="settings.xml"/><Relationship Id="rId4" Type="http://schemas.openxmlformats.org/officeDocument/2006/relationships/styles" Target="styles.xml"/><Relationship Id="rId3" Type="http://schemas.openxmlformats.org/officeDocument/2006/relationships/numbering" Target="numbering.xml"/></Relationships>
</file>