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J1 ==&gt; Рана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След като продаде революционния софтуерен продукт, написан през лятото от него, Иванчо се отдаде на изучаване на непознати езици и култури. Зае се с местния език на известния с жаби-мутанти остров, Рана. Макар че вече не съществува остров Рана, Иванчо иска да научи езика му.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Главната причина е че е заинтригуван от числата в езика. Тъй като математиката там не е била добре развита, местните жители са използвали само числата от -999 до 999. Всяка цифра от езика се записва със специален символ. (Те също са използвали десетична бройна система.) Също така в ранския език има знак за минус и числата не се пишат с водещи нули.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Иванчо ще отиде на изпит, където трябва да напише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рански числа. Като типичен програмист, ще напише програма, която да намери коя цифра ще трябва да напише най-много пъти-... опа! Той трябва да дебъгва софтуерния си продукт спешно! Моли ви да напишете програмата вместо него. Комисията е склонна да му каже какви ще са числата.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Напишете програмата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която при дадени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цели числа от -999 до 999 проверява кой е най-срещаният знак на рански език (представен чрез съответстващият му знак, който е познат на нас).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първия ред от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rana.in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се въвежда числото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колко числа между -999 и 999 ще трябва да изпише Иванчо. 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втория ред следват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-те числа които комисията ви е предоставила. За ваша радост те са изписани с арабски цифри.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Изход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Трябва да изведете един символ във файла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rana.out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този който се среща най-често в изпита на Иванчо. Ако има два или повече такива, изведете този, който е най-малък лексикографски като лексикографскта им подредба е такава каквато е в ASCII.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Ограничения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 &lt;= 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Примери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Вход (rana.in)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Изход (rana.out)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756 321 766 66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-111 -222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-11 -22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